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096AC" w14:textId="508EC031" w:rsidR="005121A2" w:rsidRDefault="005121A2" w:rsidP="00187BB1">
      <w:pPr>
        <w:tabs>
          <w:tab w:val="left" w:pos="709"/>
        </w:tabs>
        <w:spacing w:before="58" w:after="0" w:line="240" w:lineRule="auto"/>
        <w:ind w:right="49"/>
        <w:jc w:val="center"/>
        <w:rPr>
          <w:rFonts w:ascii="Cambria" w:eastAsia="Times New Roman" w:hAnsi="Cambria" w:cs="Arial"/>
          <w:b/>
          <w:iCs/>
          <w:kern w:val="24"/>
          <w:lang w:eastAsia="es-MX"/>
        </w:rPr>
      </w:pPr>
      <w:r w:rsidRPr="00187BB1">
        <w:rPr>
          <w:rFonts w:ascii="Cambria" w:hAnsi="Cambria"/>
          <w:i/>
          <w:iCs/>
        </w:rPr>
        <w:t>LINEAMIENTO PUBLICADO EN EL PERIÓDICO OFICIAL DEL ESTADO: 20 DE SEPTIEMBRE DE 2019</w:t>
      </w:r>
      <w:r>
        <w:rPr>
          <w:rFonts w:ascii="Cambria" w:hAnsi="Cambria"/>
          <w:i/>
          <w:iCs/>
        </w:rPr>
        <w:t>.</w:t>
      </w:r>
    </w:p>
    <w:p w14:paraId="32B122BF" w14:textId="77777777" w:rsidR="005121A2" w:rsidRDefault="005121A2" w:rsidP="00187BB1">
      <w:pPr>
        <w:tabs>
          <w:tab w:val="left" w:pos="709"/>
        </w:tabs>
        <w:spacing w:before="58" w:after="0" w:line="240" w:lineRule="auto"/>
        <w:ind w:right="49"/>
        <w:jc w:val="center"/>
        <w:rPr>
          <w:rFonts w:ascii="Cambria" w:eastAsia="Times New Roman" w:hAnsi="Cambria" w:cs="Arial"/>
          <w:b/>
          <w:iCs/>
          <w:kern w:val="24"/>
          <w:lang w:eastAsia="es-MX"/>
        </w:rPr>
      </w:pPr>
    </w:p>
    <w:p w14:paraId="0249F1FF" w14:textId="388ADB2D" w:rsidR="00187BB1" w:rsidRPr="00187BB1" w:rsidRDefault="00187BB1" w:rsidP="00187BB1">
      <w:pPr>
        <w:tabs>
          <w:tab w:val="left" w:pos="709"/>
        </w:tabs>
        <w:spacing w:before="58" w:after="0" w:line="240" w:lineRule="auto"/>
        <w:ind w:right="49"/>
        <w:jc w:val="center"/>
        <w:rPr>
          <w:rFonts w:ascii="Cambria" w:eastAsia="Times New Roman" w:hAnsi="Cambria" w:cs="Arial"/>
          <w:b/>
          <w:iCs/>
          <w:kern w:val="24"/>
          <w:lang w:eastAsia="es-MX"/>
        </w:rPr>
      </w:pPr>
      <w:r w:rsidRPr="00187BB1">
        <w:rPr>
          <w:rFonts w:ascii="Cambria" w:eastAsia="Times New Roman" w:hAnsi="Cambria" w:cs="Arial"/>
          <w:b/>
          <w:iCs/>
          <w:kern w:val="24"/>
          <w:lang w:eastAsia="es-MX"/>
        </w:rPr>
        <w:t>LINEAMIENTOS PARA LA INSTRUMENTACIÓN DE LOS PROCEDIMIENTOS DE LICITACIÓN PÚBLICA PARA EL OTORGAMIENTO DE UNA CONCESIÓN DE UN SERVICIO PÚBLICO MUNICIPAL EN EL MUNICIPIO DE SALTILLO, COAHUILADE ZARAGOZA.</w:t>
      </w:r>
    </w:p>
    <w:p w14:paraId="1AAB919F" w14:textId="77777777" w:rsidR="00187BB1" w:rsidRPr="00187BB1" w:rsidRDefault="00187BB1" w:rsidP="00187BB1">
      <w:pPr>
        <w:tabs>
          <w:tab w:val="left" w:pos="709"/>
        </w:tabs>
        <w:spacing w:before="58" w:after="0" w:line="240" w:lineRule="auto"/>
        <w:ind w:right="49"/>
        <w:rPr>
          <w:rFonts w:ascii="Cambria" w:eastAsia="Times New Roman" w:hAnsi="Cambria" w:cs="Arial"/>
          <w:bCs/>
          <w:i/>
          <w:kern w:val="24"/>
          <w:lang w:eastAsia="es-MX"/>
        </w:rPr>
      </w:pPr>
    </w:p>
    <w:p w14:paraId="6A2AD2A2" w14:textId="5E232156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187BB1">
        <w:rPr>
          <w:rFonts w:ascii="Cambria" w:hAnsi="Cambria"/>
          <w:b/>
          <w:bCs/>
        </w:rPr>
        <w:t>TÍTULO PRIMERO</w:t>
      </w:r>
    </w:p>
    <w:p w14:paraId="07DF8226" w14:textId="41FE5489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DISPOSICIONES GENERALES</w:t>
      </w:r>
    </w:p>
    <w:p w14:paraId="2490917F" w14:textId="49E1A117" w:rsid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CAPÍTULO ÚNICO</w:t>
      </w:r>
    </w:p>
    <w:p w14:paraId="6FEDD4A8" w14:textId="77777777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DA833E0" w14:textId="5075C7F0" w:rsidR="00187BB1" w:rsidRDefault="00187BB1" w:rsidP="00187BB1">
      <w:pPr>
        <w:spacing w:after="0" w:line="240" w:lineRule="auto"/>
        <w:ind w:right="-142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1.-</w:t>
      </w:r>
      <w:r w:rsidRPr="00187BB1">
        <w:rPr>
          <w:rFonts w:ascii="Cambria" w:hAnsi="Cambria"/>
        </w:rPr>
        <w:t xml:space="preserve"> El presente lineamiento es de interés público, de observancia general y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obligatoria, y tienen por objeto establecer el procedimiento y los criterios para el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otorgamiento de concesiones de servicios públicos de competencia municipal,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incluyendo la explotación, uso y aprovechamiento de los bienes requeridos para la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prestación del servicio público.</w:t>
      </w:r>
    </w:p>
    <w:p w14:paraId="51842E75" w14:textId="77777777" w:rsidR="00187BB1" w:rsidRPr="00187BB1" w:rsidRDefault="00187BB1" w:rsidP="00187BB1">
      <w:pPr>
        <w:spacing w:after="0" w:line="240" w:lineRule="auto"/>
        <w:ind w:right="-142"/>
        <w:jc w:val="both"/>
        <w:rPr>
          <w:rFonts w:ascii="Cambria" w:hAnsi="Cambria"/>
        </w:rPr>
      </w:pPr>
    </w:p>
    <w:p w14:paraId="33B02C89" w14:textId="63227A7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Quedan excluidos de la aplicación del presente ordenamiento, las concesiones que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expresamente se normen en otros reglamentos municipales.</w:t>
      </w:r>
    </w:p>
    <w:p w14:paraId="5F64F62F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08A965C8" w14:textId="3CC1519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No podrán ser objeto de concesión los servicios públicos relativos a seguridad pública</w:t>
      </w:r>
    </w:p>
    <w:p w14:paraId="65B24D3F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y tránsito, protección civil y bomberos.</w:t>
      </w:r>
    </w:p>
    <w:p w14:paraId="62131AED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044A4E72" w14:textId="48BD5FAF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2.</w:t>
      </w:r>
      <w:r w:rsidRPr="00187BB1">
        <w:rPr>
          <w:rFonts w:ascii="Cambria" w:hAnsi="Cambria"/>
        </w:rPr>
        <w:t xml:space="preserve"> Para efectos del presente lineamiento, se deberá entender por:</w:t>
      </w:r>
    </w:p>
    <w:p w14:paraId="02ECF63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4B3F3247" w14:textId="60402D8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Bienes Inmuebles de Dominio Público: Los señalados en el artículo 304 del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Código Financiero para los Municipios del Estado de Coahuila de Zaragoza;</w:t>
      </w:r>
    </w:p>
    <w:p w14:paraId="6EC2E14F" w14:textId="454A95D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Código: El Código Municipal para el Estado de Coahuila de Zaragoza;</w:t>
      </w:r>
    </w:p>
    <w:p w14:paraId="33B2998A" w14:textId="0C69BEA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III. Concesión: Es el acto administrativo contractual y reglamentario mediante el cual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funcionamiento de un servicio público es confiado temporalmente a personas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físicas o morales, que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asume todas las responsabilidades del mismo y se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remunera con los ingresos que percibe de los usuarios del servicio concedido;</w:t>
      </w:r>
    </w:p>
    <w:p w14:paraId="36222F60" w14:textId="02366E8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IV. Concesionario: La persona física o moral de carácter privado, a quien el Municipio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le concede legal y temporalmente la autorización para prestar un servicio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público municipal, mediante un Título de Concesión;</w:t>
      </w:r>
    </w:p>
    <w:p w14:paraId="58803A8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V. Convocante: La Tesorería Municipal del R. Ayuntamiento de Saltillo, Coahuila de</w:t>
      </w:r>
    </w:p>
    <w:p w14:paraId="4A5175C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Zaragoza;</w:t>
      </w:r>
    </w:p>
    <w:p w14:paraId="716E18CA" w14:textId="6C7F609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VI. Licitante: Persona física o moral de carácter privado con interés jurídico en una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licitación, en virtud de haber adquirido las bases de este;</w:t>
      </w:r>
    </w:p>
    <w:p w14:paraId="23062EE7" w14:textId="22F5900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VII. Convocatoria: Documento público en donde se establecen las reglas generales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para quienes deseen participar en un proceso de licitación;</w:t>
      </w:r>
    </w:p>
    <w:p w14:paraId="653C072D" w14:textId="36FAE3A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VIII.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Licitación: Procedimiento mediante el cual se concesiona la prestación de un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servicio público;</w:t>
      </w:r>
    </w:p>
    <w:p w14:paraId="44D34D28" w14:textId="281280E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IX. Lineamiento: Los lineamientos para la Instrumentación de los Procedimientos de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Licitación Pública para el Otorgamiento de una Concesión de un Servicio Público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Municipal en el Municipio Saltillo, Coahuila de Zaragoza;</w:t>
      </w:r>
    </w:p>
    <w:p w14:paraId="7943D903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X. Municipio: Municipio de Saltillo, Coahuila de Zaragoza;</w:t>
      </w:r>
    </w:p>
    <w:p w14:paraId="516545E5" w14:textId="4A2BB94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XI. Servicio Público: Actividad de la administración pública municipal, central,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descentralizada o concesionada a particulares, creada para asegurar de una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manera permanente, regular y continua, la satisfacción de una necesidad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colectiva de interés general, sujeta a un régimen de derecho público; y</w:t>
      </w:r>
    </w:p>
    <w:p w14:paraId="6A64288C" w14:textId="795F29C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XII. Título de Concesión: El instrumento público en el que se hacen constar las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condiciones bajo las cuales el Municipio autoriza de forma temporal al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concesionario para prestar un servicio público municipal, y en su caso, para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explotar los bienes que sean indispensables para ello;</w:t>
      </w:r>
    </w:p>
    <w:p w14:paraId="6033B09F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1166E8D5" w14:textId="4AF233E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3.</w:t>
      </w:r>
      <w:r w:rsidRPr="00187BB1">
        <w:rPr>
          <w:rFonts w:ascii="Cambria" w:hAnsi="Cambria"/>
        </w:rPr>
        <w:t xml:space="preserve"> La Tesorería estará facultada para la interpretación y aplicación del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presente Lineamiento, sin demérito de que cualquier otro ordenamiento confiera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facultades a otra instancia de orden municipal, para interpretaciones distintas a la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administrativa del presente.</w:t>
      </w:r>
    </w:p>
    <w:p w14:paraId="36CD2E97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33FEF29F" w14:textId="0FF69CAD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TÍTULO SEGUNDO</w:t>
      </w:r>
    </w:p>
    <w:p w14:paraId="56AE7CED" w14:textId="34DE3919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DE LA AUTORIZACIÓN DE LAS CONCESIONES DE SERVICIOS PÚBLICOS.</w:t>
      </w:r>
    </w:p>
    <w:p w14:paraId="7EFB6EA7" w14:textId="18FE688E" w:rsid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CAPÍTULO ÚNICO</w:t>
      </w:r>
    </w:p>
    <w:p w14:paraId="72FDC7DB" w14:textId="77777777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3910C5C6" w14:textId="0959893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4.</w:t>
      </w:r>
      <w:r w:rsidRPr="00187BB1">
        <w:rPr>
          <w:rFonts w:ascii="Cambria" w:hAnsi="Cambria"/>
        </w:rPr>
        <w:t xml:space="preserve"> El Ayuntamiento solo podrá otorgar concesiones a particulares respecto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 servicios públicos cuya competencia le sea conferida por la Constitución Política de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los Estados Unidos Mexicanos y la Constitución Política del Estado de Coahuila de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Zaragoza, así como sus leyes reglamentarias y por el Código.</w:t>
      </w:r>
    </w:p>
    <w:p w14:paraId="1783427C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49EC31C7" w14:textId="33D0CE3F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el otorgamiento de las concesiones a que haya lugar se le dará vista en calidad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observadores dentro del procedimiento de licitación a la Comisión de Regidores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correspondiente, así como al Contralor Ciudadano, atendiendo al servicio público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objeto de la licitación.</w:t>
      </w:r>
    </w:p>
    <w:p w14:paraId="37023453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4BD05B75" w14:textId="7429F99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5.</w:t>
      </w:r>
      <w:r w:rsidRPr="00187BB1">
        <w:rPr>
          <w:rFonts w:ascii="Cambria" w:hAnsi="Cambria"/>
        </w:rPr>
        <w:t xml:space="preserve"> Para el otorgamiento de una concesión, el Ayuntamiento deberá contar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 las autorizaciones a que haya lugar conforme a las disposiciones aplicables.</w:t>
      </w:r>
    </w:p>
    <w:p w14:paraId="4B0BA851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F193BEF" w14:textId="7BBD03BF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6.</w:t>
      </w:r>
      <w:r w:rsidRPr="00187BB1">
        <w:rPr>
          <w:rFonts w:ascii="Cambria" w:hAnsi="Cambria"/>
        </w:rPr>
        <w:t xml:space="preserve"> Tratándose de servicios públicos municipales, la autoridad concesionante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deberá observar las disposiciones contenidas en el Código, el presente lineamiento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y demás preceptos legales aplicables.</w:t>
      </w:r>
    </w:p>
    <w:p w14:paraId="0B3AAD19" w14:textId="77777777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561CF0C0" w14:textId="66574CB3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TÍTULO TERCERO</w:t>
      </w:r>
    </w:p>
    <w:p w14:paraId="2F4CE70B" w14:textId="63130147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DEL PROCEDIMIENTO DE LICITACIÓN.</w:t>
      </w:r>
    </w:p>
    <w:p w14:paraId="34485D0D" w14:textId="0187F7A5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CAPÍTULO PRIMERO</w:t>
      </w:r>
    </w:p>
    <w:p w14:paraId="57267D35" w14:textId="65BFCE5E" w:rsidR="00187BB1" w:rsidRPr="00187BB1" w:rsidRDefault="00187BB1" w:rsidP="00187BB1">
      <w:pPr>
        <w:spacing w:after="0" w:line="240" w:lineRule="auto"/>
        <w:jc w:val="center"/>
        <w:rPr>
          <w:rFonts w:ascii="Cambria" w:hAnsi="Cambria"/>
          <w:b/>
          <w:bCs/>
        </w:rPr>
      </w:pPr>
      <w:r w:rsidRPr="00187BB1">
        <w:rPr>
          <w:rFonts w:ascii="Cambria" w:hAnsi="Cambria"/>
          <w:b/>
          <w:bCs/>
        </w:rPr>
        <w:t>GENERALIDADES</w:t>
      </w:r>
    </w:p>
    <w:p w14:paraId="12E4A75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494D584" w14:textId="66CAFC01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7.</w:t>
      </w:r>
      <w:r w:rsidRPr="00187BB1">
        <w:rPr>
          <w:rFonts w:ascii="Cambria" w:hAnsi="Cambria"/>
        </w:rPr>
        <w:t xml:space="preserve"> Las concesiones se deberán otorgar mediante Licitación Pública, en el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cual se observarán los principios de máxima publicidad, libre participación y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concurrencia, equidad y transparencia.</w:t>
      </w:r>
    </w:p>
    <w:p w14:paraId="1432AD8C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</w:p>
    <w:p w14:paraId="3A94B11C" w14:textId="62AF414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  <w:b/>
          <w:bCs/>
        </w:rPr>
        <w:t>ARTÍCULO 8.</w:t>
      </w:r>
      <w:r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La convocatoria de la licitación, deberá publicarse en el Periódico Oficial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del Estado de Coahuila de Zaragoza, en la Gaceta Municipal, en el sitio de internet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del Municipio, y en al menos un periódico de circulación estatal.</w:t>
      </w:r>
    </w:p>
    <w:p w14:paraId="4CAD2C34" w14:textId="77777777" w:rsidR="00004C3B" w:rsidRPr="00004C3B" w:rsidRDefault="00004C3B" w:rsidP="00187BB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55B5A35" w14:textId="2A85AF91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9.</w:t>
      </w:r>
      <w:r w:rsidRPr="00187BB1">
        <w:rPr>
          <w:rFonts w:ascii="Cambria" w:hAnsi="Cambria"/>
        </w:rPr>
        <w:t xml:space="preserve"> Los plazos de la licitación, se contabilizarán de la siguiente manera:</w:t>
      </w:r>
    </w:p>
    <w:p w14:paraId="613278D5" w14:textId="1CAB491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Consulta y venta de bases: Desde la fecha de publicación de la convocatoria y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hasta 7 días naturales previos a la celebración de la junta de recepción de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propuestas, siendo responsabilidad de los interesados adquirirlas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oportunamente;</w:t>
      </w:r>
    </w:p>
    <w:p w14:paraId="692DBC3B" w14:textId="12C56FA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Visita al sitio donde se prestará el servicio: Se realizará por el convocante y los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licitantes dentro de los 3 primeros días posteriores a la publicación de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convocatoria, en caso de que las características del servicio lo requieran.</w:t>
      </w:r>
    </w:p>
    <w:p w14:paraId="4CCFB498" w14:textId="3C214E5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III. Recepción de preguntas: Hasta 3 días hábiles anteriores a la junta de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aclaraciones;</w:t>
      </w:r>
    </w:p>
    <w:p w14:paraId="336067D0" w14:textId="47F3F31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IV. Junta de aclaraciones a las bases: Como mínimo 3 días hábiles posteriores al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día de cierre de venta de bases;</w:t>
      </w:r>
    </w:p>
    <w:p w14:paraId="5CF043F8" w14:textId="58D8A6B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V. Junta de recepción de propuestas técnicas y económicas: A los 7 días naturales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posteriores a la celebración de la Junta de Aclaraciones;</w:t>
      </w:r>
    </w:p>
    <w:p w14:paraId="23F9AFEB" w14:textId="69B475D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VI. Emisión del Fallo: hasta 7 días naturales posteriores a la celebración de la Junta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recepción de propuestas técnicas y económicas, pudiendo prorrogar su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emisión hasta por un término igual.</w:t>
      </w:r>
    </w:p>
    <w:p w14:paraId="3EE21BC1" w14:textId="3EDF6A8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VII. Firma del contrato de concesión: Dentro de los 30 días naturales posteriores a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fecha de la emisión del fallo.</w:t>
      </w:r>
    </w:p>
    <w:p w14:paraId="4746C633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2EA51828" w14:textId="7588DB22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10.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Podrán participar en las licitaciones todas las personas físicas o morales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interesadas, que acrediten su existencia, personalidad jurídica, capacidad técnica y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financiera para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hacerse acreedores de la concesión en los términos de las bases de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la licitación. Podrán participar de manera consorciada varios licitantes, a través de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una sola propuesta, manifestando que participarán con esa calidad, designando un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representante común y firmando un convenio consorcial, el que deberá presentarse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dentro de su propuesta debidamente certificado ante fedatario público.</w:t>
      </w:r>
    </w:p>
    <w:p w14:paraId="552BBDFE" w14:textId="77777777" w:rsidR="00004C3B" w:rsidRPr="00004C3B" w:rsidRDefault="00004C3B" w:rsidP="00187BB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39B4BB5" w14:textId="1F1C9DDC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11.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Las personas que participen en la licitación deberán manifestar un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domicilio en el municipio, para oír y recibir notificaciones, además de acreditar a una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persona para los mismos efectos, que deberá estar disponible en días y horas hábiles.</w:t>
      </w:r>
    </w:p>
    <w:p w14:paraId="74023B43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509CA515" w14:textId="1E8518A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Adicionalmente deberán manifestar un correo electrónico que será un medio para las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notificaciones de la licitación, así como un número telefónico de localización.</w:t>
      </w:r>
    </w:p>
    <w:p w14:paraId="3E39E143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7F5425D4" w14:textId="63F68AC5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12.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En cumplimiento a lo establecido en el Código, la concesión sólo podrá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otorgarse a una persona de nacionalidad mexicana. Para los efectos anteriores, el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licitante ganador podrá constituir una persona moral dedicada exclusivamente a la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atención de los fines de la concesión.</w:t>
      </w:r>
    </w:p>
    <w:p w14:paraId="3A2C0329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359CA82F" w14:textId="2585EA79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13.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Tratándose de servicios públicos municipales concesionados, para el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control financiero y contabilidad gubernamental, preferentemente se constituirá un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fideicomiso de administración y pago, cuyos fines, de manera enunciativa y no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limitativa, podrán ser: administrar y dispersar los flujos generados por el proyecto,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para efectuar el pago hacia los fideicomisarios.</w:t>
      </w:r>
    </w:p>
    <w:p w14:paraId="7816D278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55ECE39F" w14:textId="3183A4DF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CAPÍTULO SEGUNDO</w:t>
      </w:r>
    </w:p>
    <w:p w14:paraId="7BE52EB6" w14:textId="45C611E5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DE LA CONVOCATORIA</w:t>
      </w:r>
    </w:p>
    <w:p w14:paraId="5DFFC7BC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223E0829" w14:textId="26D0992A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14.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Las convocatorias contendrán cuando menos:</w:t>
      </w:r>
    </w:p>
    <w:p w14:paraId="666E6DDA" w14:textId="674C24C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Referencia del Acuerdo de Cabildo donde se aprueba concesionar el servicio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público;</w:t>
      </w:r>
    </w:p>
    <w:p w14:paraId="35792321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El nombre, denominación o razón social de la dependencia convocante;</w:t>
      </w:r>
    </w:p>
    <w:p w14:paraId="03AF4E11" w14:textId="1406FA8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III. La indicación de los lugares, fechas y horarios en que los interesados podrán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obtener las bases de la licitación y, en su caso, el costo y forma de pago de las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mismas. Los interesados podrán revisarlas previamente a su pago, el cual es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requisito indispensable para participar en la licitación, asimismo podrán consultar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y adquirir las bases de las licitaciones por los medios de difusión electrónica que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establezca la convocante;</w:t>
      </w:r>
    </w:p>
    <w:p w14:paraId="5F3EE3D3" w14:textId="5092725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IV. La indicación de que ninguna de las condiciones contenidas en las bases de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licitación, así como las propuestas presentadas por los licitantes, podrán ser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negociadas;</w:t>
      </w:r>
    </w:p>
    <w:p w14:paraId="0AB6FB1C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V. El objeto de la licitación;</w:t>
      </w:r>
    </w:p>
    <w:p w14:paraId="28CC1267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VI. La indicación de las personas que no podrán participar en la licitación; y</w:t>
      </w:r>
    </w:p>
    <w:p w14:paraId="37EAB9DB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VII. Los criterios generales conforme a los cuales se adjudicará el contrato.</w:t>
      </w:r>
    </w:p>
    <w:p w14:paraId="2876EE3C" w14:textId="77777777" w:rsidR="00004C3B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42E8E87D" w14:textId="50976B9E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CAPÍTULO TERCERO</w:t>
      </w:r>
    </w:p>
    <w:p w14:paraId="7C2BECC2" w14:textId="26EA95F5" w:rsidR="00187BB1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DE LAS BASES DE LA LICITACIÓN.</w:t>
      </w:r>
    </w:p>
    <w:p w14:paraId="10879EBD" w14:textId="77777777" w:rsidR="00004C3B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344D2391" w14:textId="14DF7192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lastRenderedPageBreak/>
        <w:t>ARTÍCULO 15.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Las Bases de la licitación, en función del servicio público a concesionar,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deberán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contener por lo menos los siguientes elementos:</w:t>
      </w:r>
    </w:p>
    <w:p w14:paraId="0E5A47B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Definiciones;</w:t>
      </w:r>
    </w:p>
    <w:p w14:paraId="387D3F3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Objeto de la licitación;</w:t>
      </w:r>
    </w:p>
    <w:p w14:paraId="37EF3317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III. Programa de Actividades de la licitación;</w:t>
      </w:r>
    </w:p>
    <w:p w14:paraId="6E87DAD6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IV. Domicilio de la dependencia convocante;</w:t>
      </w:r>
    </w:p>
    <w:p w14:paraId="6CE329A4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V. El idioma de presentación de las propuestas;</w:t>
      </w:r>
    </w:p>
    <w:p w14:paraId="61C179FA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VI. Adquisición de Bases;</w:t>
      </w:r>
    </w:p>
    <w:p w14:paraId="56716055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VII. Propuestas conjuntas;</w:t>
      </w:r>
    </w:p>
    <w:p w14:paraId="753444A3" w14:textId="5ECF76B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VIII.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Paquete de documentación legal y financiera que acredite la solvencia de los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licitantes;</w:t>
      </w:r>
    </w:p>
    <w:p w14:paraId="713A2815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IX. Forma en que se acreditará la existencia y personalidad jurídica del licitante;</w:t>
      </w:r>
    </w:p>
    <w:p w14:paraId="2B273C9C" w14:textId="3CAC97B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X. La indicación de que ninguna de las condiciones contenidas en las bases de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licitación, así como en las propuestas presentadas por los licitantes podrán ser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negociadas;</w:t>
      </w:r>
    </w:p>
    <w:p w14:paraId="1B4CEDCA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XI. Criterios para la evaluación de las propuestas y adjudicación de los contratos,</w:t>
      </w:r>
    </w:p>
    <w:p w14:paraId="714B0BF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que puede ser el binario y puntos o porcentajes;</w:t>
      </w:r>
    </w:p>
    <w:p w14:paraId="6715E0CF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XII. La indicación de que no podrán participar las personas físicas o morales</w:t>
      </w:r>
    </w:p>
    <w:p w14:paraId="4D5E515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inhabilitadas por resolución de las autoridades competentes;</w:t>
      </w:r>
    </w:p>
    <w:p w14:paraId="366294C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XIII. Instrucciones para elaborar y presentar las propuestas;</w:t>
      </w:r>
    </w:p>
    <w:p w14:paraId="7EF15B0B" w14:textId="44450A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XIV.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Vigencia de las propuestas;</w:t>
      </w:r>
    </w:p>
    <w:p w14:paraId="0C3EB846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XV. Garantía de seriedad de la propuesta;</w:t>
      </w:r>
    </w:p>
    <w:p w14:paraId="5D3011E5" w14:textId="27AF5FE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XVI.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Manifestación de no conflicto de interés;</w:t>
      </w:r>
    </w:p>
    <w:p w14:paraId="182B6E7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XVII. Contenido de las propuestas técnica y económica;</w:t>
      </w:r>
    </w:p>
    <w:p w14:paraId="553875E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XVIII. Acto de recepción y apertura de las propuestas técnicas y económicas;</w:t>
      </w:r>
    </w:p>
    <w:p w14:paraId="72104076" w14:textId="0DFF179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XIX.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Causas de desechamiento de las propuestas:</w:t>
      </w:r>
    </w:p>
    <w:p w14:paraId="4EFDF0A2" w14:textId="4ACBE91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Se presenten en forma tardía las propuestas, una vez iniciado el acto de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recepción y apertura de las mismas:</w:t>
      </w:r>
    </w:p>
    <w:p w14:paraId="1E8A9051" w14:textId="2E7620A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El sobre en el que se presenten las propuestas no esté cerrado, para evitar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introducir o retirar fácilmente documentos, antes de la celebración del acto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público programado para la recepción y apertura de las propuestas;</w:t>
      </w:r>
    </w:p>
    <w:p w14:paraId="5B30D0C9" w14:textId="2E21C09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c) Falta de la firma del licitante o su representante legal, en los documentos, en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forma y términos en que este requisito haya sido solicitado.</w:t>
      </w:r>
    </w:p>
    <w:p w14:paraId="7AC6966B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d) Las demás que la convocante determine dentro de las bases correspondientes.</w:t>
      </w:r>
    </w:p>
    <w:p w14:paraId="2F857A3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XX. Causas de descalificación de los licitantes:</w:t>
      </w:r>
    </w:p>
    <w:p w14:paraId="49455C78" w14:textId="27A725C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La propuesta técnica o la propuesta económica no venga firmada por el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representante legal del licitante, en la forma y términos indicados en las bases;</w:t>
      </w:r>
    </w:p>
    <w:p w14:paraId="6F01D90E" w14:textId="58BE5EB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El licitante deje de presentar dentro del sobre correspondiente uno o más de los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documentos originales, copias o fotocopias, en la forma y términos solicitados en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las bases;</w:t>
      </w:r>
    </w:p>
    <w:p w14:paraId="2A42C6D0" w14:textId="4D02D55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c) El licitante presente documentos cuyo contenido sea parcial o no esté completo,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 su texto no corresponda a los datos de acuerdo con lo solicitado en las bases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la licitación;</w:t>
      </w:r>
    </w:p>
    <w:p w14:paraId="35DB5A74" w14:textId="33612282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d) Los bienes que oferte el licitante no se ajusten a las especificaciones solicitadas,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técnicas, de calidad, diseño, etc.</w:t>
      </w:r>
    </w:p>
    <w:p w14:paraId="53FFF7D1" w14:textId="2BAD94A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e) Proponga alternativas que modifiquen las condiciones establecidas por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convocante en las bases y conforme a las cuales se desarrollara la licitación;</w:t>
      </w:r>
    </w:p>
    <w:p w14:paraId="1DD30065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f) No presente con número y letra el precio total de la propuesta económica;</w:t>
      </w:r>
    </w:p>
    <w:p w14:paraId="42C2D2A5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g) Haya cometido un hecho ilícito en perjuicio del Municipio;</w:t>
      </w:r>
    </w:p>
    <w:p w14:paraId="4717E75F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h) No satisfaga los requisitos de forma y fondo determinados en las bases;</w:t>
      </w:r>
    </w:p>
    <w:p w14:paraId="727A6614" w14:textId="51E5DAD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i) El Municipio encuentre que el licitante se ha puesto de acuerdo con otro u otros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para hacer subir los precios propuestos con motivo de esta licitación, o por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cualquier otro acuerdo que tenga como fin obtener una ventaja sobre los demás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licitantes;</w:t>
      </w:r>
    </w:p>
    <w:p w14:paraId="5CAB0513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j) El licitante presente varias propuestas bajo el mismo o diferentes nombres;</w:t>
      </w:r>
    </w:p>
    <w:p w14:paraId="06D04436" w14:textId="4A6A841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k) Cuando el valor de la garantía para seriedad presentada por el licitante, sea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inferior al porcentaje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establecido en las bases;</w:t>
      </w:r>
    </w:p>
    <w:p w14:paraId="7ED5921F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l) Cuando presente precios en moneda extranjera;</w:t>
      </w:r>
    </w:p>
    <w:p w14:paraId="6253AC8A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m) Existan adeudos pendientes derivados de sanciones económicas impuestas por</w:t>
      </w:r>
    </w:p>
    <w:p w14:paraId="3F0F1EF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convocante, por incumpliendo de contratos por parte de los licitantes;</w:t>
      </w:r>
    </w:p>
    <w:p w14:paraId="42230A9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n) Las demás que la convocante determine dentro de las bases correspondientes.</w:t>
      </w:r>
    </w:p>
    <w:p w14:paraId="55596904" w14:textId="735A2E95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XXI.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Causas de declaración de licitación desierta:</w:t>
      </w:r>
    </w:p>
    <w:p w14:paraId="013994D9" w14:textId="44B78BB2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Si vencido el plazo de venta de las bases de licitación ningún interesado las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adquiera, no se presente propuesta en la junta de recepción de propuestas técnicas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y económicas, si la totalidad de las propuestas presentadas fueran desechadas;</w:t>
      </w:r>
    </w:p>
    <w:p w14:paraId="13F08427" w14:textId="005A603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Si la totalidad de las propuestas presentadas, no garantizan el cumplimiento del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contrato, en cuanto a precio, oportunidad, calidad y especificaciones técnicas;</w:t>
      </w:r>
    </w:p>
    <w:p w14:paraId="14AAC2B8" w14:textId="6C08608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c) Si la totalidad de las propuestas presentada, no reúne los requisitos de las bases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la licitación o si como resultado de la investigación efectuada por la convocante,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se determina que los precios no son aceptables, por no resultar congruentes con los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precios en vigor en el mercado;</w:t>
      </w:r>
    </w:p>
    <w:p w14:paraId="75FCDC31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d) Las demás que la convocante determine dentro de las bases correspondientes.</w:t>
      </w:r>
    </w:p>
    <w:p w14:paraId="00982B5B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XXII. Causas de cancelación o suspensión de la licitación.</w:t>
      </w:r>
    </w:p>
    <w:p w14:paraId="68C3F6BB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Por caso fortuito o fuerza mayor;</w:t>
      </w:r>
    </w:p>
    <w:p w14:paraId="40DD586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Las demás que la convocante determine dentro de las bases correspondientes.</w:t>
      </w:r>
    </w:p>
    <w:p w14:paraId="0694242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XXIII. Criterio para la evaluación de las propuestas y adjudicación del contrato;</w:t>
      </w:r>
    </w:p>
    <w:p w14:paraId="7C3BDEBB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XXIV. Fallo de la licitación;</w:t>
      </w:r>
    </w:p>
    <w:p w14:paraId="1FDCA1B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XXV. Modelo de Título de Concesión; y</w:t>
      </w:r>
    </w:p>
    <w:p w14:paraId="6E34FE5C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XXVI. Anexos y sus formatos.</w:t>
      </w:r>
    </w:p>
    <w:p w14:paraId="0C0C9033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091B7C9B" w14:textId="2082868A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16.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Al tratarse de concesiones de jurisdicción municipal, las bases de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licitación deben prever que los participantes quedarán sometidos a las leyes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aplicables del Estado de Coahuila de Zaragoza y renuncian al fuero que pudiera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corresponderles por razón de su domicilio o nacionalidad, o por cualquier otro motivo,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por lo que la resolución de controversias quedará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sometida a la competencia de las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leyes y jurisdicción de los tribunales del Estado de Coahuila de Zaragoza, ubicados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en el Municipio.</w:t>
      </w:r>
    </w:p>
    <w:p w14:paraId="494FD71E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7E87EA45" w14:textId="02F550A4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TÍTULO CUARTO</w:t>
      </w:r>
    </w:p>
    <w:p w14:paraId="3F336076" w14:textId="7A0F923F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DE LA EVALUACIÓN DE LAS PROPUESTAS</w:t>
      </w:r>
    </w:p>
    <w:p w14:paraId="31087166" w14:textId="07C7CCB6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CAPÍTULO PRIMERO</w:t>
      </w:r>
    </w:p>
    <w:p w14:paraId="2BF32A6D" w14:textId="3BA0FCCB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GENERALIDADES</w:t>
      </w:r>
    </w:p>
    <w:p w14:paraId="6689B835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74543445" w14:textId="1B170D88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17.</w:t>
      </w:r>
      <w:r w:rsidRPr="00187BB1"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Para la evaluación de las propuestas técnicas y económicas, de acuerdo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con las características del proyecto y las necesidades del Ayuntamiento,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indistintamente podrá utilizarse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cualquiera de los siguientes métodos:</w:t>
      </w:r>
    </w:p>
    <w:p w14:paraId="5D6621B7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Binario, y</w:t>
      </w:r>
    </w:p>
    <w:p w14:paraId="322863FD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Puntos o porcentajes.</w:t>
      </w:r>
    </w:p>
    <w:p w14:paraId="5FF93970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5290BA13" w14:textId="7CF7EEBA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CAPÍTULO SEGUNDO</w:t>
      </w:r>
    </w:p>
    <w:p w14:paraId="153F4A97" w14:textId="4491A948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DE LOS MÉTODOS DE EVALUACIÓN</w:t>
      </w:r>
    </w:p>
    <w:p w14:paraId="3F907B3A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45E3AAD9" w14:textId="56BD91EC" w:rsidR="00187BB1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18.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El Método Binario para la evaluación de las propuestas, consiste en la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verificación exhaustiva del cumplimiento de los requisitos legales, administrativos,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económicos y técnicos solicitados en las bases de la licitación y la comparación de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los precios ofertados por cada licitante, la asignación del contrato será a los licitantes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que resultan solventes porque cumplen con la totalidad de los requisitos solicitados y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oferte el precio más económico.</w:t>
      </w:r>
    </w:p>
    <w:p w14:paraId="6363D9AC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1B0C4F06" w14:textId="68A1BB0C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En este método, si existieran dos o más propuestas solventes porque satisfacen la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totalidad de los requerimientos solicitados por la convocante, la convocante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adjudicará al licitante que hubiere ofrecido mejores condiciones en su propuesta,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adicionales a las mismas establecidas en las bases, con relación a los servicios 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contratar.</w:t>
      </w:r>
    </w:p>
    <w:p w14:paraId="1F91BB31" w14:textId="77777777" w:rsidR="00004C3B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42406A8D" w14:textId="1A3D1971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CAPÍTULO TERCERO</w:t>
      </w:r>
    </w:p>
    <w:p w14:paraId="3C44871A" w14:textId="38FC7518" w:rsidR="00187BB1" w:rsidRPr="00004C3B" w:rsidRDefault="00004C3B" w:rsidP="00004C3B">
      <w:pPr>
        <w:spacing w:after="0" w:line="240" w:lineRule="auto"/>
        <w:jc w:val="center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DEL MÉTODO DE EVALUACIÓN POR PUNTOS O PORCENTAJES</w:t>
      </w:r>
    </w:p>
    <w:p w14:paraId="5181DBB2" w14:textId="77777777" w:rsidR="00004C3B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5A4CD381" w14:textId="2F6ED718" w:rsidR="00187BB1" w:rsidRDefault="00004C3B" w:rsidP="00187BB1">
      <w:pPr>
        <w:spacing w:after="0" w:line="240" w:lineRule="auto"/>
        <w:jc w:val="both"/>
        <w:rPr>
          <w:rFonts w:ascii="Cambria" w:hAnsi="Cambria"/>
        </w:rPr>
      </w:pPr>
      <w:r w:rsidRPr="00004C3B">
        <w:rPr>
          <w:rFonts w:ascii="Cambria" w:hAnsi="Cambria"/>
          <w:b/>
          <w:bCs/>
        </w:rPr>
        <w:t>ARTÍCULO 19.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El Método de Puntos o Porcentajes para calificar las propuestas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técnicas y económicas, consiste en la verificación exhaustiva de los requisitos legales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y técnicos solicitados en las bases de la licitación mediante la asignación de puntos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 xml:space="preserve">o unidades porcentuales que los licitantes alcancen de acuerdo al grado </w:t>
      </w:r>
      <w:r w:rsidRPr="00187BB1">
        <w:rPr>
          <w:rFonts w:ascii="Cambria" w:hAnsi="Cambria"/>
        </w:rPr>
        <w:t xml:space="preserve">de </w:t>
      </w:r>
      <w:r>
        <w:rPr>
          <w:rFonts w:ascii="Cambria" w:hAnsi="Cambria"/>
        </w:rPr>
        <w:t>cumplimiento</w:t>
      </w:r>
      <w:r w:rsidR="00187BB1" w:rsidRPr="00187BB1">
        <w:rPr>
          <w:rFonts w:ascii="Cambria" w:hAnsi="Cambria"/>
        </w:rPr>
        <w:t xml:space="preserve"> de los rubros y subrubros de las propuestas técnicas y económicas que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integran la propuesta para que sean consideradas como solventes.</w:t>
      </w:r>
    </w:p>
    <w:p w14:paraId="3C26D57D" w14:textId="77777777" w:rsidR="00004C3B" w:rsidRPr="00187BB1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505AE37D" w14:textId="77777777" w:rsidR="00187BB1" w:rsidRPr="00004C3B" w:rsidRDefault="00187BB1" w:rsidP="00B06319">
      <w:pPr>
        <w:spacing w:after="0" w:line="240" w:lineRule="auto"/>
        <w:rPr>
          <w:rFonts w:ascii="Cambria" w:hAnsi="Cambria"/>
          <w:b/>
          <w:bCs/>
        </w:rPr>
      </w:pPr>
      <w:r w:rsidRPr="00004C3B">
        <w:rPr>
          <w:rFonts w:ascii="Cambria" w:hAnsi="Cambria"/>
          <w:b/>
          <w:bCs/>
        </w:rPr>
        <w:t>PROPUESTA TÉCNICA.</w:t>
      </w:r>
    </w:p>
    <w:p w14:paraId="511DAD6D" w14:textId="09F7463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puntuación o unidades porcentuales que deberá obtener la propuesta técnica para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ser considerada solvente y, por tanto, no ser desechada, será de cuando menos 45</w:t>
      </w:r>
      <w:r w:rsidR="00004C3B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los 60 máximos que se pueden obtener en su evaluación técnica.</w:t>
      </w:r>
    </w:p>
    <w:p w14:paraId="385FAFE1" w14:textId="77777777" w:rsidR="00004C3B" w:rsidRDefault="00004C3B" w:rsidP="00187BB1">
      <w:pPr>
        <w:spacing w:after="0" w:line="240" w:lineRule="auto"/>
        <w:jc w:val="both"/>
        <w:rPr>
          <w:rFonts w:ascii="Cambria" w:hAnsi="Cambria"/>
        </w:rPr>
      </w:pPr>
    </w:p>
    <w:p w14:paraId="7A92FE8B" w14:textId="6E4DC3D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la propuesta técnica los rubros a considerar serán:</w:t>
      </w:r>
    </w:p>
    <w:p w14:paraId="52F2A1ED" w14:textId="29C2FC7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a) Capacidad de los recursos humanos y económicos del licitante. Consiste en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número de recursos humanos que técnicamente estén aptos para prestar el servicio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concesionado, los recursos económicos y de equipamiento que requiere el licitante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para prestar los servicios en el tiempo, condiciones y niveles de calidad requeridos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por la convocante, así como otorgar servicios de mantenimiento o cualquier otro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aspecto indispensable para que el licitante pueda cumplir con las obligaciones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previstas en el contrato de concesión. Cuando la convocante considere necesario que</w:t>
      </w:r>
    </w:p>
    <w:p w14:paraId="0BC3A47C" w14:textId="29E23B6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el licitante cuente con el personal que prestará el servicio previamente a la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adjudicación del contrato de concesión, deberá acreditarse con los documentos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carácter laboral idóneos.</w:t>
      </w:r>
    </w:p>
    <w:p w14:paraId="3A8FD5F1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9D164F1" w14:textId="251D4B6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Los recursos económicos del licitante se podrán comprobar con documentos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acrediten su capacidad financiera, tales como declaraciones fiscales, estados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financieros dictaminados de los últimos dos ejercicios fiscales; en caso de empresas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nueva creación, los más actualizados a la fecha de presentación de la propuesta.</w:t>
      </w:r>
    </w:p>
    <w:p w14:paraId="32C22D4D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38540D2" w14:textId="55CEE03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considerará dentro de los recursos de equipamiento, los bienes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directamente relacionados con la prestación del servicio y aquéllos conexos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permitan al licitante el cumplimiento de la concesión.</w:t>
      </w:r>
    </w:p>
    <w:p w14:paraId="698A485E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97D5225" w14:textId="261252D1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Opcionalmente podrán otorgarse puntos o unidades porcentuales al licitante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acrediten contar, dentro de su planta laboral, con trabajadores con discapacidad.</w:t>
      </w:r>
    </w:p>
    <w:p w14:paraId="1FCF4589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105D34EF" w14:textId="304EB1A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Igualmente, se considerará el otorgamiento de puntuación o unidades porcentuales 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los licitantes que se comprometan a subcontratar a MIPYMES para la ejecución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los trabajos.</w:t>
      </w:r>
    </w:p>
    <w:p w14:paraId="5378262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23B9E575" w14:textId="1E145C8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deberá señalar en la convocatoria, cuáles serán los documentos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necesarios para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licitante acredite los aspectos a que se refiere este rubro;</w:t>
      </w:r>
    </w:p>
    <w:p w14:paraId="2B6ED49E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587679A" w14:textId="01A8C1B1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b) Experiencia y especialidad del licitante. En la experiencia se tomará en cuenta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tiempo en que el licitante ha prestado a cualquier persona servicios de la misma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naturaleza de los que son objeto del procedimiento de contratación de que se trate,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sin que la convocante pueda solicitar una experiencia superior a diez años.</w:t>
      </w:r>
    </w:p>
    <w:p w14:paraId="2D7E063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441C3AF" w14:textId="4A14BE6C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la especialidad deberá valorarse si los servicios que ha venido prestando el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licitante, corresponden a las características específicas y a condiciones similares 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las requeridas por la convocante.</w:t>
      </w:r>
    </w:p>
    <w:p w14:paraId="7ED4D0D7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2EBA980" w14:textId="4D7C65C2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acreditación de este rubro podrá realizarse con los títulos de concesión y/o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contratos o cualquier otro documento que, a consideración de la convocante, permita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el licitante compruebe que ha prestado servicios en los términos señalados en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los párrafos anteriores de este inciso. Para ello, la convocante deberá requerir a los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licitantes un mínimo de títulos de concesión y/o contratos o documentos a presentar,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hayan suscrito o tengan adjudicados con anterioridad a la fecha de la</w:t>
      </w:r>
    </w:p>
    <w:p w14:paraId="0FEB2BA2" w14:textId="0CB66CE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convocatoria; asimismo, podrá establecer un tiempo mínimo de experiencia, el cual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en ningún caso podrá ser mayor a diez años;</w:t>
      </w:r>
    </w:p>
    <w:p w14:paraId="38DD5204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53067E3A" w14:textId="0B76D56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c) Propuesta de Trabajo. Consiste en evaluar conforme a los términos de referencia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establecidos por la convocante, la metodología, el plan de trabajo y la organización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propuesta por el licitante que permitan garantizar el cumplimiento de la concesión.</w:t>
      </w:r>
    </w:p>
    <w:p w14:paraId="4BD30DE4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7F27DD3" w14:textId="2955499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la evaluación de este rubro, la convocante deberá considerar la forma en la cual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licitante propone utilizar los recursos de que dispone para prestar el servicio,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cuándo y cómo llevará a cabo las actividades o tareas que implica el mismo, el o los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procedimientos para llevar a la práctica las actividades o habilidades y el esquema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conforme al cual se estructurará la organización de los recursos humanos necesarios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para cumplir con las obligaciones previstas en la convocatoria.</w:t>
      </w:r>
    </w:p>
    <w:p w14:paraId="6FFB67EE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386A4FC" w14:textId="7A073EB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acreditar los aspectos a que alude este rubro, la convocante podrá solicitar en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la convocatoria que el licitante presente la metodología, el plan de trabajo, el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organigrama y cualquier otro documento con el cual integre su propuesta de trabajo,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y</w:t>
      </w:r>
    </w:p>
    <w:p w14:paraId="76DACB6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4C31305C" w14:textId="31A6F63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d) Cumplimiento de contratos. Se ocupa de medir el desempeño o cumplimiento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ha tenido el licitante en la prestación oportuna y adecuada de concesiones 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contratos de servicios de la misma naturaleza objeto del procedimiento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contratación de que se trate, que hubieren sido otorgados por alguna dependencia,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entidad o contratados con cualquier otra persona en el plazo que determine la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convocante, el cual no podrá ser superior a diez años.</w:t>
      </w:r>
    </w:p>
    <w:p w14:paraId="4599E376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D5A9729" w14:textId="2CB2E6E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acreditar este rubro, la convocante requerirá a los licitantes los títulos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concesión o contratos relativos a los servicios de la misma naturaleza prestados con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anterioridad, así como, respecto de cada uno de ellos, el documento en el que conste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la cancelación de la garantía de cumplimiento respectiva, la manifestación expresa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la contratante sobre el cumplimiento o avance de cumplimiento de las obligaciones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del concesionario o contractuales o cualquier otro documento con el que se corrobore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dicho cumplimiento.</w:t>
      </w:r>
    </w:p>
    <w:p w14:paraId="4868CDE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2B57D02E" w14:textId="1B1AE58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Los títulos de concesión o contratos cumplidos podrán ser los correspondientes a los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presentados por el licitante para acreditar el rubro señalado en el inciso b) de esta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fracción.</w:t>
      </w:r>
    </w:p>
    <w:p w14:paraId="7DC74B47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2AC64B9D" w14:textId="09207355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 cada uno de los cuatro rubros señalados en los incisos anteriores, la convocante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deberá asignarle una puntuación o unidades porcentuales, la cual a su vez se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repartirá entre los distintos subrubros que integran cada uno de los rubros.</w:t>
      </w:r>
    </w:p>
    <w:p w14:paraId="2681ADE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49BF69CF" w14:textId="788915D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cualquiera de los subrubros, la convocante podrá otorgar puntuación o unidades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porcentuales adicionales a los licitantes que ofrezcan características o condiciones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superiores de los servicios o de aquellos aspectos solicitados al licitante considerados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como mínimos indispensables, siempre y cuando ello repercuta directamente en la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 xml:space="preserve">obtención de mejores condiciones para el Municipio. En </w:t>
      </w:r>
      <w:r w:rsidRPr="00187BB1">
        <w:rPr>
          <w:rFonts w:ascii="Cambria" w:hAnsi="Cambria"/>
        </w:rPr>
        <w:lastRenderedPageBreak/>
        <w:t>este caso, las características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 condiciones superiores deberán preverse en la convocatoria, así como la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puntuación o unidades porcentuales asignadas a las mismas.</w:t>
      </w:r>
    </w:p>
    <w:p w14:paraId="2ED6D8A0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3CD9AE7E" w14:textId="6E6C7CB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suma de la puntuación o unidades porcentuales de todos los rubros con sus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respectivos subrubros deberá ser igual a 60. Para la asignación de puntuación 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unidades porcentuales en cada rubro, la convocante deberá considerar lo siguiente:</w:t>
      </w:r>
    </w:p>
    <w:p w14:paraId="405996D0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607FB5B" w14:textId="52F9485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Rubro 1: Capacidad de los recursos humanos y económicos del licitante</w:t>
      </w:r>
    </w:p>
    <w:p w14:paraId="7B4294E4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(máximo 24 puntos).</w:t>
      </w:r>
    </w:p>
    <w:p w14:paraId="14D91005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4456EFEE" w14:textId="47FB758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Subrubros:</w:t>
      </w:r>
    </w:p>
    <w:p w14:paraId="56D6F8B6" w14:textId="7C7E4F1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para distribuir la puntuación o unidades porcentuales asignadas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deberá considerar, por lo menos, los siguientes subrubros:</w:t>
      </w:r>
    </w:p>
    <w:p w14:paraId="5ACFE5D1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5D5014DC" w14:textId="2FD79AD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1.1 Capacidad de los recursos humanos. Este subrubro tendrá un puntaje máximo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 12 puntos o unidades porcentuales.</w:t>
      </w:r>
    </w:p>
    <w:p w14:paraId="6F0D70A0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14A61C4C" w14:textId="72D278E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tomará en cuenta los niveles de preparación, la cantidad y el tipo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personal que se requiera para prestar el servicio, asignando el puntaje que estime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más adecuado acorde al proyecto.</w:t>
      </w:r>
    </w:p>
    <w:p w14:paraId="3E87E5FB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0833E5AC" w14:textId="0CFD436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podrá requerir la existencia de un responsable de grupo de trabajo o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jefe de equipo o proyecto, así como, en su caso, un número mínimo de miembros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integren cada grupo de trabajo.</w:t>
      </w:r>
    </w:p>
    <w:p w14:paraId="6EE94312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237BA98D" w14:textId="776E6D0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A efecto de evaluar la preparación de cada una de las citadas personas, la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convocante podrá asignar puntuación o unidades porcentuales, conforme a los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siguientes aspectos:</w:t>
      </w:r>
    </w:p>
    <w:p w14:paraId="4C9ED0D2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3C8F6523" w14:textId="24AD53C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Primero. Experiencia en asuntos relacionados con la materia del servicio objeto del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procedimiento de contratación de que se trate;</w:t>
      </w:r>
    </w:p>
    <w:p w14:paraId="7AC5DB91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4E50456" w14:textId="7D55D88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Segundo. Competencia o habilidad en el trabajo de acuerdo a sus conocimientos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académicos o profesionales, y</w:t>
      </w:r>
    </w:p>
    <w:p w14:paraId="77536769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78207348" w14:textId="0653566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Tercero. Dominio de herramientas relacionadas con el servicio, como puede ser el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idioma, programas informáticos o participación en la resolución o tratamiento de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problemáticas similares a la que sea materia del servicio de que se trate.</w:t>
      </w:r>
    </w:p>
    <w:p w14:paraId="38012AEE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1588A88B" w14:textId="7CBB84B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suma de los valores de ponderación determinados para cada uno de los tres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aspectos señalados deberá ser igual al total de la puntuación o unidades porcentuales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asignadas para el presente subrubro.</w:t>
      </w:r>
    </w:p>
    <w:p w14:paraId="7AC2D34C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650C33DE" w14:textId="4666D51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el caso de que la convocante requiera que el licitante cuente con el personal que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prestará el servicio previamente a la adjudicación de la Concesión, sólo se dará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puntuación o unidades porcentuales al licitante que acredite contar en su plantilla con</w:t>
      </w:r>
      <w:r w:rsidR="00983517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personal que habrá de prestar el servicio;</w:t>
      </w:r>
    </w:p>
    <w:p w14:paraId="619A8DF1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202EB6B9" w14:textId="014451F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1.2 Capacidad de los recursos económicos, de equipamiento y/o tecnologías.</w:t>
      </w:r>
    </w:p>
    <w:p w14:paraId="7A48B3E4" w14:textId="77777777" w:rsidR="00983517" w:rsidRDefault="00983517" w:rsidP="00187BB1">
      <w:pPr>
        <w:spacing w:after="0" w:line="240" w:lineRule="auto"/>
        <w:jc w:val="both"/>
        <w:rPr>
          <w:rFonts w:ascii="Cambria" w:hAnsi="Cambria"/>
        </w:rPr>
      </w:pPr>
    </w:p>
    <w:p w14:paraId="3B24A056" w14:textId="35EDAE6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Este subrubro tendrá un puntaje máximo de 12 puntos o unidades porcentuales.</w:t>
      </w:r>
    </w:p>
    <w:p w14:paraId="45A0339E" w14:textId="4BFAC9B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Se refiere a la capacidad de recursos económicos y de equipamiento que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convocante considere necesaria para que el licitante cumpla con el contrato,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conforme a los requerimientos establecidos en las bases.</w:t>
      </w:r>
    </w:p>
    <w:p w14:paraId="4A73CAC3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166AAFFA" w14:textId="005AA3A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podrá asignar puntuación o unidades porcentuales a los conceptos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integran este subrubro, de conformidad con las características de los servicios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objeto del procedimiento de contratación y la importancia de cada concepto.</w:t>
      </w:r>
    </w:p>
    <w:p w14:paraId="74987BA3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0023C465" w14:textId="366059C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el caso del equipamiento, podrá solicitar todas aquellas herramientas que sean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indispensables para la operación de la concesión, diferentes a los equipos que se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requieran para la construcción de la infraestructura sobre la que se prestará el servicio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público concesionado.</w:t>
      </w:r>
    </w:p>
    <w:p w14:paraId="1B301AD2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453EE40B" w14:textId="5ED9A6C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el caso de tecnologías, se podrá solicitar todas aquellas herramientas de índole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informático o de cualquier tipo que sean utilizadas durante la fase operativa de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concesión, que tengan la virtud de darle viabilidad al proyecto.</w:t>
      </w:r>
    </w:p>
    <w:p w14:paraId="2AEE58C7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006D19FE" w14:textId="2D66047B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Sin rebasar el 5% del total de puntos a asignar en este subrubro, la Convocante podrá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considerar otorgar puntaje para los siguientes conceptos:</w:t>
      </w:r>
    </w:p>
    <w:p w14:paraId="3DC6B33B" w14:textId="77777777" w:rsidR="00B06319" w:rsidRPr="00187BB1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0ECDBDE3" w14:textId="48F93E2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Participación de personas con discapacidad o empresas que cuenten con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trabajadores con discapacidad. La convocante deberá asignar en todos los casos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puntuación o unidades porcentuales a este subrubro.</w:t>
      </w:r>
    </w:p>
    <w:p w14:paraId="597C709F" w14:textId="6EBCBD1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Cuando se trate de empresas se deberá asignar de manera proporcional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puntuación o unidades porcentuales determinadas por la convocante para este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subrubro, conforme al número de trabajadores con discapacidad que acrediten tener;</w:t>
      </w:r>
    </w:p>
    <w:p w14:paraId="1DFE06CA" w14:textId="1A23508E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Participación de MIPYMES que produzcan bienes con innovación tecnológica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relacionados directamente con la prestación del servicio de que se trate.</w:t>
      </w:r>
    </w:p>
    <w:p w14:paraId="5B365BBA" w14:textId="49F922B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deberá asignar en todos los casos puntuación o unidades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porcentuales a este subrubro, las cuales sólo se otorgarán cuando el licitante acredite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haber producido los bienes que se utilizarán en la prestación del servicio objeto del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procedimiento de contratación, con innovación tecnológica que tenga registrada en el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Instituto Mexicano de la Propiedad Industrial, y</w:t>
      </w:r>
    </w:p>
    <w:p w14:paraId="26A552AB" w14:textId="40C9263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III. Subcontratación de MIPYMES. El presente subrubro sólo se aplicará en los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procedimientos que requieran de la creación de infraestructura para la prestación del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servicio público concesionado.</w:t>
      </w:r>
    </w:p>
    <w:p w14:paraId="3AAA0335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70ED59AF" w14:textId="567F5AE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el caso de que la convocante determine evaluar características o condiciones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adicionales a las mínimas requeridas, podrá incluir dentro de este rubro los siguientes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subrubros:</w:t>
      </w:r>
    </w:p>
    <w:p w14:paraId="5C968915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1) Extensión del tiempo mínimo exigido para garantizar el servicio, y</w:t>
      </w:r>
    </w:p>
    <w:p w14:paraId="3A4D17F8" w14:textId="0DA02B3F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2) Valores agregados, como pudiera ser la prestación del servicio en plazos más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reducidos, el otorgamiento de servicios adicionales o la obtención de resultados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superiores a los requeridos.</w:t>
      </w:r>
    </w:p>
    <w:p w14:paraId="45BBF8E7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3A9D5053" w14:textId="54A7D5A5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Rubro 2: Experiencia y Especialidad (máximo 18 puntos)</w:t>
      </w:r>
    </w:p>
    <w:p w14:paraId="5D46B6BA" w14:textId="57D1E34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Experiencia y Especialidad del licitante. Este rubro tendrá un rango de 12 a 18 puntos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 unidades porcentuales. La convocante deberá distribuir la puntuación o unidades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porcentuales asignadas, únicamente entre los siguientes subrubros:</w:t>
      </w:r>
    </w:p>
    <w:p w14:paraId="2F6DB846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7CDCEBDD" w14:textId="2A08D204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2.1 Experiencia. Mayor tiempo prestando servicios similares a los requeridos en el</w:t>
      </w:r>
    </w:p>
    <w:p w14:paraId="42516583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procedimiento de contratación de que se trate, y</w:t>
      </w:r>
    </w:p>
    <w:p w14:paraId="6D45D515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6EB826DF" w14:textId="35809458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2.2 Especialidad. Mayor número de contratos, pedidos o documentos con los cuales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el licitante puede acreditar que ha prestado servicios con las características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específicas y en condiciones similares a las establecidas en la convocatoria de que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se trate.</w:t>
      </w:r>
    </w:p>
    <w:p w14:paraId="734863CD" w14:textId="5EC948E5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lastRenderedPageBreak/>
        <w:t>La convocante deberá asignar el máximo de puntuación o unidades porcentuales que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haya determinado, al licitante que acredite mayor número de años de experiencia y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presente el mayor número de contratos o documentos que cubran los supuestos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antes señalados. A partir de este máximo asignado, la convocante deberá efectuar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un reparto proporcional de puntuación o unidades porcentuales entre el resto de los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licitantes, debido a los años de experiencia y del número de títulos de concesión y/o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contratos o documentos presentados respecto de la especialidad.</w:t>
      </w:r>
    </w:p>
    <w:p w14:paraId="6685E459" w14:textId="1B65627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caso de que dos o más licitantes acrediten el mismo número de años de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experiencia y presenten el mismo número de títulos de concesión y/o contratos 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documentos para la especialidad, la convocante deberá dar la misma puntuación 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unidades porcentuales a los licitantes que se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encuentren en este supuesto;</w:t>
      </w:r>
    </w:p>
    <w:p w14:paraId="5147425B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39960F56" w14:textId="1B7E246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Rubro 3: Propuesta de Trabajo (máximo 12 puntos)</w:t>
      </w:r>
    </w:p>
    <w:p w14:paraId="7581F120" w14:textId="103600F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para distribuir el total de la puntuación o unidades porcentuales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asignadas a este rubro deberá considerar, entre otros, los siguientes Subrubros:</w:t>
      </w:r>
    </w:p>
    <w:p w14:paraId="5FCEFA1C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150C5EAD" w14:textId="02CF251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3.1 Metodología para la prestación del servicio;</w:t>
      </w:r>
    </w:p>
    <w:p w14:paraId="0DF47D8F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1698C4AE" w14:textId="40B8D5F2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3.2 Plan de trabajo propuesto por el licitante, y</w:t>
      </w:r>
    </w:p>
    <w:p w14:paraId="6F487A33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7DBDF2AA" w14:textId="3EF8F12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3.3 Esquema estructural de la organización de los recursos humanos.</w:t>
      </w:r>
    </w:p>
    <w:p w14:paraId="65DB4511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33F40ED6" w14:textId="11422AD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convocante asignará a cada subrubro la puntuación o unidades porcentuales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conforme a la importancia que tengan para la prestación del servicio requerido, y</w:t>
      </w:r>
    </w:p>
    <w:p w14:paraId="6325C976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34E9FB4A" w14:textId="327239F2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Rubro 4: Cumplimiento de contratos (máximo 12 puntos)</w:t>
      </w:r>
    </w:p>
    <w:p w14:paraId="425BE159" w14:textId="41FC39D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De acuerdo con la naturaleza y características de los servicios materia del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procedimiento de contratación y las condiciones y complejidad para el cumplimiento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del contrato, la convocante podrá establecer subrubros a efecto de distribuir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puntuación o unidades porcentuales asignadas a este rubro.</w:t>
      </w:r>
    </w:p>
    <w:p w14:paraId="0D0D2914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507E8820" w14:textId="5ABB26A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Se deberá asignar mayor puntuación o unidades porcentuales al licitante que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demuestre documentalmente tener más contratos cumplidos satisfactoriamente, 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partir del mínimo establecido por la convocante, y al resto de los licitantes se les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asignará puntuación o unidades porcentuales de manera proporcional al número de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títulos de concesión y/o contratos que acrediten haber cumplido. En caso de no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presentarse el mínimo de títulos de concesión y/o contratos requeridos, no se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asignará puntuación o unidades porcentuales.</w:t>
      </w:r>
    </w:p>
    <w:p w14:paraId="70CFD226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5827A045" w14:textId="75C831D5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En caso de que dos o más licitantes presenten el mismo número de títulos de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concesión y/o contratos o documentos para acreditar el cumplimiento de contratos,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convocante deberá dar la misma puntuación o unidades porcentuales a los licitantes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se encuentren en este supuesto;</w:t>
      </w:r>
    </w:p>
    <w:p w14:paraId="7A280415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033C56FB" w14:textId="1C2CB4FD" w:rsidR="00187BB1" w:rsidRPr="00B06319" w:rsidRDefault="00187BB1" w:rsidP="00187BB1">
      <w:pPr>
        <w:spacing w:after="0" w:line="240" w:lineRule="auto"/>
        <w:jc w:val="both"/>
        <w:rPr>
          <w:rFonts w:ascii="Cambria" w:hAnsi="Cambria"/>
          <w:b/>
          <w:bCs/>
        </w:rPr>
      </w:pPr>
      <w:r w:rsidRPr="00B06319">
        <w:rPr>
          <w:rFonts w:ascii="Cambria" w:hAnsi="Cambria"/>
          <w:b/>
          <w:bCs/>
        </w:rPr>
        <w:t>PROPUESTA ECONÓMICA.</w:t>
      </w:r>
    </w:p>
    <w:p w14:paraId="341963A4" w14:textId="266A3FA0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definir el criterio que determine cuál es la propuesta económica más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conveniente, la convocante podrá establecer en las bases, aspectos como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inversión inicial, las tarifas al usuario, el valor presente del proyecto,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contraprestación ofertada, o cualquier otro que resulte adecuado conforme a la</w:t>
      </w:r>
      <w:r w:rsidR="00B06319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naturaleza del proyecto, o bien, una combinación ponderada de cualquiera de los</w:t>
      </w:r>
    </w:p>
    <w:p w14:paraId="4D1069D0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factores seleccionados.</w:t>
      </w:r>
    </w:p>
    <w:p w14:paraId="0726D230" w14:textId="77777777" w:rsidR="00B06319" w:rsidRDefault="00B06319" w:rsidP="00187BB1">
      <w:pPr>
        <w:spacing w:after="0" w:line="240" w:lineRule="auto"/>
        <w:jc w:val="both"/>
        <w:rPr>
          <w:rFonts w:ascii="Cambria" w:hAnsi="Cambria"/>
        </w:rPr>
      </w:pPr>
    </w:p>
    <w:p w14:paraId="07C45155" w14:textId="1599448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El total de puntuación o unidades porcentuales de la propuesta económica deberá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tener un valor numérico máximo de 40, por lo que a la propuesta económica que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 xml:space="preserve">resulte ser la más conveniente </w:t>
      </w:r>
      <w:r w:rsidRPr="00187BB1">
        <w:rPr>
          <w:rFonts w:ascii="Cambria" w:hAnsi="Cambria"/>
        </w:rPr>
        <w:lastRenderedPageBreak/>
        <w:t>de las técnicamente aceptadas de acuerdo al criterio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económico definido, deberá asignársele la puntuación o unidades porcentuales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máxima.</w:t>
      </w:r>
    </w:p>
    <w:p w14:paraId="403555E0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7267D528" w14:textId="0AF34F84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determinar la puntuación o unidades porcentuales que correspondan a la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propuesta económica de cada participante, la convocante aplicará la siguiente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fórmula:</w:t>
      </w:r>
    </w:p>
    <w:p w14:paraId="333E3EEA" w14:textId="77777777" w:rsidR="00616EE3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14696728" w14:textId="7600672E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 xml:space="preserve">PPE = </w:t>
      </w:r>
      <w:proofErr w:type="spellStart"/>
      <w:r w:rsidRPr="00187BB1">
        <w:rPr>
          <w:rFonts w:ascii="Cambria" w:hAnsi="Cambria"/>
        </w:rPr>
        <w:t>MPemb</w:t>
      </w:r>
      <w:proofErr w:type="spellEnd"/>
      <w:r w:rsidRPr="00187BB1">
        <w:rPr>
          <w:rFonts w:ascii="Cambria" w:hAnsi="Cambria"/>
        </w:rPr>
        <w:t xml:space="preserve"> x 40 / </w:t>
      </w:r>
      <w:proofErr w:type="spellStart"/>
      <w:r w:rsidRPr="00187BB1">
        <w:rPr>
          <w:rFonts w:ascii="Cambria" w:hAnsi="Cambria"/>
        </w:rPr>
        <w:t>MPi</w:t>
      </w:r>
      <w:proofErr w:type="spellEnd"/>
      <w:r w:rsidRPr="00187BB1">
        <w:rPr>
          <w:rFonts w:ascii="Cambria" w:hAnsi="Cambria"/>
        </w:rPr>
        <w:t>.</w:t>
      </w:r>
    </w:p>
    <w:p w14:paraId="08833731" w14:textId="77777777" w:rsidR="00616EE3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2AA71451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Donde:</w:t>
      </w:r>
    </w:p>
    <w:p w14:paraId="6A0AD220" w14:textId="6C36BCBB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PPE = Puntuación o unidades porcentuales que corresponden a la propuesta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económica;</w:t>
      </w:r>
    </w:p>
    <w:p w14:paraId="3C2C051E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187BB1">
        <w:rPr>
          <w:rFonts w:ascii="Cambria" w:hAnsi="Cambria"/>
        </w:rPr>
        <w:t>MPemb</w:t>
      </w:r>
      <w:proofErr w:type="spellEnd"/>
      <w:r w:rsidRPr="00187BB1">
        <w:rPr>
          <w:rFonts w:ascii="Cambria" w:hAnsi="Cambria"/>
        </w:rPr>
        <w:t xml:space="preserve"> = Monto de la propuesta económica más conveniente, y</w:t>
      </w:r>
    </w:p>
    <w:p w14:paraId="7FCD3486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187BB1">
        <w:rPr>
          <w:rFonts w:ascii="Cambria" w:hAnsi="Cambria"/>
        </w:rPr>
        <w:t>MPi</w:t>
      </w:r>
      <w:proofErr w:type="spellEnd"/>
      <w:r w:rsidRPr="00187BB1">
        <w:rPr>
          <w:rFonts w:ascii="Cambria" w:hAnsi="Cambria"/>
        </w:rPr>
        <w:t xml:space="preserve"> = Monto de la i-</w:t>
      </w:r>
      <w:proofErr w:type="spellStart"/>
      <w:r w:rsidRPr="00187BB1">
        <w:rPr>
          <w:rFonts w:ascii="Cambria" w:hAnsi="Cambria"/>
        </w:rPr>
        <w:t>ésima</w:t>
      </w:r>
      <w:proofErr w:type="spellEnd"/>
      <w:r w:rsidRPr="00187BB1">
        <w:rPr>
          <w:rFonts w:ascii="Cambria" w:hAnsi="Cambria"/>
        </w:rPr>
        <w:t xml:space="preserve"> propuesta económica;</w:t>
      </w:r>
    </w:p>
    <w:p w14:paraId="42E6632C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7E64F6B5" w14:textId="1AF1A22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Resultado Final</w:t>
      </w:r>
    </w:p>
    <w:p w14:paraId="01C26D8E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02596BAE" w14:textId="2CE9006F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Para calcular el resultado final de la puntuación o unidades porcentuales que obtuvo</w:t>
      </w:r>
    </w:p>
    <w:p w14:paraId="3B84914F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cada propuesta, la convocante aplicará la siguiente fórmula:</w:t>
      </w:r>
    </w:p>
    <w:p w14:paraId="67C745C9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187BB1">
        <w:rPr>
          <w:rFonts w:ascii="Cambria" w:hAnsi="Cambria"/>
        </w:rPr>
        <w:t>PTj</w:t>
      </w:r>
      <w:proofErr w:type="spellEnd"/>
      <w:r w:rsidRPr="00187BB1">
        <w:rPr>
          <w:rFonts w:ascii="Cambria" w:hAnsi="Cambria"/>
        </w:rPr>
        <w:t xml:space="preserve"> = TPT + PPE Para toda j = 1, 2, ..., n</w:t>
      </w:r>
    </w:p>
    <w:p w14:paraId="62CD28CD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Donde:</w:t>
      </w:r>
    </w:p>
    <w:p w14:paraId="73A3392E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187BB1">
        <w:rPr>
          <w:rFonts w:ascii="Cambria" w:hAnsi="Cambria"/>
        </w:rPr>
        <w:t>PTj</w:t>
      </w:r>
      <w:proofErr w:type="spellEnd"/>
      <w:r w:rsidRPr="00187BB1">
        <w:rPr>
          <w:rFonts w:ascii="Cambria" w:hAnsi="Cambria"/>
        </w:rPr>
        <w:t xml:space="preserve"> = Puntuación o unidades porcentuales Totales de la propuesta;</w:t>
      </w:r>
    </w:p>
    <w:p w14:paraId="57D58B73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TPT = Total de Puntuación o unidades porcentuales asignados a la propuesta técnica;</w:t>
      </w:r>
    </w:p>
    <w:p w14:paraId="3653B0CA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PPE = Puntuación o unidades porcentuales asignados a la propuesta económica, y</w:t>
      </w:r>
    </w:p>
    <w:p w14:paraId="43B2127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El subíndice "j" representa a las demás propuestas determinadas como solventes</w:t>
      </w:r>
    </w:p>
    <w:p w14:paraId="217A69D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como resultado de la evaluación, y</w:t>
      </w:r>
    </w:p>
    <w:p w14:paraId="513EFE54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703A5EEC" w14:textId="1B7777E3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Propuesta solvente más conveniente.</w:t>
      </w:r>
    </w:p>
    <w:p w14:paraId="4750059F" w14:textId="269A5C69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La propuesta solvente más conveniente para el Municipio será aquélla que reúna la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mayor puntuación o unidades porcentuales conforme a lo dispuesto en el capítulo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tercero, titulo cuarto del presente lineamiento.</w:t>
      </w:r>
    </w:p>
    <w:p w14:paraId="1B2FF977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63F48558" w14:textId="07B4388B" w:rsidR="00187BB1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TÍTULO QUINTO</w:t>
      </w:r>
    </w:p>
    <w:p w14:paraId="36AC6B71" w14:textId="54D74762" w:rsidR="00187BB1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DEL FALLO</w:t>
      </w:r>
    </w:p>
    <w:p w14:paraId="07F49A2C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774746A7" w14:textId="4B3EFE58" w:rsidR="00187BB1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  <w:r w:rsidRPr="00616EE3">
        <w:rPr>
          <w:rFonts w:ascii="Cambria" w:hAnsi="Cambria"/>
          <w:b/>
          <w:bCs/>
        </w:rPr>
        <w:t>ARTÍCULO 20</w:t>
      </w:r>
      <w:r w:rsidR="00187BB1" w:rsidRPr="00187BB1">
        <w:rPr>
          <w:rFonts w:ascii="Cambria" w:hAnsi="Cambria"/>
        </w:rPr>
        <w:t>. La convocante emitirá el fallo fundado y motivado, en el que se hará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constar una reseña cronológica de los actos del procedimiento, análisis de las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propuestas y las razones para emitir o desechar las mismas.</w:t>
      </w:r>
    </w:p>
    <w:p w14:paraId="19D2C026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046E7EC4" w14:textId="74A5DB16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Emitido el fallo, la convocante lo turnará a la Secretaría del Ayuntamiento, para el</w:t>
      </w:r>
    </w:p>
    <w:p w14:paraId="1E01CFB1" w14:textId="4AB04E29" w:rsid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trámite respectivo.</w:t>
      </w:r>
    </w:p>
    <w:p w14:paraId="68B34CB7" w14:textId="77777777" w:rsidR="00616EE3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46896C67" w14:textId="121A1BB4" w:rsidR="00187BB1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TITULO SEXTO</w:t>
      </w:r>
    </w:p>
    <w:p w14:paraId="2110809D" w14:textId="20D9A25E" w:rsidR="00187BB1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DEL CONTENIDO DE LOS CONTRATOS</w:t>
      </w:r>
    </w:p>
    <w:p w14:paraId="1122CEAB" w14:textId="470FB62E" w:rsidR="00187BB1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CAPÍTULO ÚNICO</w:t>
      </w:r>
    </w:p>
    <w:p w14:paraId="3D069E2F" w14:textId="77777777" w:rsidR="00616EE3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7F5F4278" w14:textId="10AB1ADB" w:rsidR="00187BB1" w:rsidRPr="00187BB1" w:rsidRDefault="00616EE3" w:rsidP="00187BB1">
      <w:pPr>
        <w:spacing w:after="0" w:line="240" w:lineRule="auto"/>
        <w:jc w:val="both"/>
        <w:rPr>
          <w:rFonts w:ascii="Cambria" w:hAnsi="Cambria"/>
        </w:rPr>
      </w:pPr>
      <w:r w:rsidRPr="00616EE3">
        <w:rPr>
          <w:rFonts w:ascii="Cambria" w:hAnsi="Cambria"/>
          <w:b/>
          <w:bCs/>
        </w:rPr>
        <w:t>ARTÍCULO 21</w:t>
      </w:r>
      <w:r w:rsidR="00187BB1" w:rsidRPr="00187BB1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187BB1" w:rsidRPr="00187BB1">
        <w:rPr>
          <w:rFonts w:ascii="Cambria" w:hAnsi="Cambria"/>
        </w:rPr>
        <w:t>Adicional a lo establecido en el Código, los contratos de concesión de</w:t>
      </w:r>
    </w:p>
    <w:p w14:paraId="0485F952" w14:textId="77777777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los servicios públicos municipales deberán contener:</w:t>
      </w:r>
    </w:p>
    <w:p w14:paraId="67A156A5" w14:textId="0B0A0401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I. Domicilio del concesionario en la ciudad de Saltillo, Coahuila de Zaragoza, para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oír y recibir notificaciones.</w:t>
      </w:r>
    </w:p>
    <w:p w14:paraId="1F2AAFC0" w14:textId="449D352A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187BB1">
        <w:rPr>
          <w:rFonts w:ascii="Cambria" w:hAnsi="Cambria"/>
        </w:rPr>
        <w:t>II. Clausula en la que se disponga que en caso de requerirse un avalúo e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indemnización a que hace referencia el Código, se podrán utilizar los criterios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 xml:space="preserve">establecidos en la METODOLOGÍA de los servicios </w:t>
      </w:r>
      <w:proofErr w:type="spellStart"/>
      <w:r w:rsidRPr="00187BB1">
        <w:rPr>
          <w:rFonts w:ascii="Cambria" w:hAnsi="Cambria"/>
        </w:rPr>
        <w:t>valuatorios</w:t>
      </w:r>
      <w:proofErr w:type="spellEnd"/>
      <w:r w:rsidRPr="00187BB1">
        <w:rPr>
          <w:rFonts w:ascii="Cambria" w:hAnsi="Cambria"/>
        </w:rPr>
        <w:t xml:space="preserve"> regulados por el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 xml:space="preserve">Instituto de Administración y Avalúos de Bienes Nacionales </w:t>
      </w:r>
      <w:r w:rsidRPr="00187BB1">
        <w:rPr>
          <w:rFonts w:ascii="Cambria" w:hAnsi="Cambria"/>
        </w:rPr>
        <w:lastRenderedPageBreak/>
        <w:t>para dictaminar el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monto de indemnización de los activos: bienes inmuebles (urbanos, en transición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y agropecuarios), bienes muebles (maquinaria y equipo o propiedad personal) y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negocios, publicada en el Diario Oficial de la Federación el día 9 de junio de 2017,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o cualquier actualización o metodología que la sustituya.</w:t>
      </w:r>
    </w:p>
    <w:p w14:paraId="43129EC1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43A51DC2" w14:textId="3C612B81" w:rsidR="00187BB1" w:rsidRDefault="00187BB1" w:rsidP="00616EE3">
      <w:pPr>
        <w:spacing w:after="0" w:line="240" w:lineRule="auto"/>
        <w:jc w:val="center"/>
        <w:rPr>
          <w:rFonts w:ascii="Cambria" w:hAnsi="Cambria"/>
          <w:b/>
          <w:bCs/>
        </w:rPr>
      </w:pPr>
      <w:r w:rsidRPr="00616EE3">
        <w:rPr>
          <w:rFonts w:ascii="Cambria" w:hAnsi="Cambria"/>
          <w:b/>
          <w:bCs/>
        </w:rPr>
        <w:t>TRANSITORIOS</w:t>
      </w:r>
    </w:p>
    <w:p w14:paraId="76CEC216" w14:textId="77777777" w:rsidR="00616EE3" w:rsidRPr="00616EE3" w:rsidRDefault="00616EE3" w:rsidP="00616EE3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983182E" w14:textId="59E0CC3D" w:rsidR="00187BB1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616EE3">
        <w:rPr>
          <w:rFonts w:ascii="Cambria" w:hAnsi="Cambria"/>
          <w:b/>
          <w:bCs/>
        </w:rPr>
        <w:t>PRIMERO.</w:t>
      </w:r>
      <w:r w:rsidRPr="00187BB1">
        <w:rPr>
          <w:rFonts w:ascii="Cambria" w:hAnsi="Cambria"/>
        </w:rPr>
        <w:t xml:space="preserve"> El presente lineamiento entrará en vigor al día hábil siguiente de su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publicación en el Periódico Oficial del Gobierno del Estado, independientemente de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lo propio en la Gaceta Municipal.</w:t>
      </w:r>
    </w:p>
    <w:p w14:paraId="74EB005D" w14:textId="77777777" w:rsidR="00616EE3" w:rsidRDefault="00616EE3" w:rsidP="00187BB1">
      <w:pPr>
        <w:spacing w:after="0" w:line="240" w:lineRule="auto"/>
        <w:jc w:val="both"/>
        <w:rPr>
          <w:rFonts w:ascii="Cambria" w:hAnsi="Cambria"/>
        </w:rPr>
      </w:pPr>
    </w:p>
    <w:p w14:paraId="34094BA7" w14:textId="19BD86B6" w:rsidR="007D35D0" w:rsidRPr="00187BB1" w:rsidRDefault="00187BB1" w:rsidP="00187BB1">
      <w:pPr>
        <w:spacing w:after="0" w:line="240" w:lineRule="auto"/>
        <w:jc w:val="both"/>
        <w:rPr>
          <w:rFonts w:ascii="Cambria" w:hAnsi="Cambria"/>
        </w:rPr>
      </w:pPr>
      <w:r w:rsidRPr="00616EE3">
        <w:rPr>
          <w:rFonts w:ascii="Cambria" w:hAnsi="Cambria"/>
          <w:b/>
          <w:bCs/>
        </w:rPr>
        <w:t>SEGUNDO.</w:t>
      </w:r>
      <w:r w:rsidR="00616EE3">
        <w:rPr>
          <w:rFonts w:ascii="Cambria" w:hAnsi="Cambria"/>
          <w:b/>
          <w:bCs/>
        </w:rPr>
        <w:t xml:space="preserve"> </w:t>
      </w:r>
      <w:r w:rsidRPr="00187BB1">
        <w:rPr>
          <w:rFonts w:ascii="Cambria" w:hAnsi="Cambria"/>
        </w:rPr>
        <w:t>Quedan sin efectos todos los oficios, circulares y lineamientos internos</w:t>
      </w:r>
      <w:r w:rsidR="00616EE3">
        <w:rPr>
          <w:rFonts w:ascii="Cambria" w:hAnsi="Cambria"/>
        </w:rPr>
        <w:t xml:space="preserve"> </w:t>
      </w:r>
      <w:r w:rsidRPr="00187BB1">
        <w:rPr>
          <w:rFonts w:ascii="Cambria" w:hAnsi="Cambria"/>
        </w:rPr>
        <w:t>que se opongan al presente lineamiento</w:t>
      </w:r>
    </w:p>
    <w:sectPr w:rsidR="007D35D0" w:rsidRPr="00187BB1" w:rsidSect="00187BB1">
      <w:headerReference w:type="default" r:id="rId7"/>
      <w:footerReference w:type="default" r:id="rId8"/>
      <w:pgSz w:w="12240" w:h="15840"/>
      <w:pgMar w:top="1134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5E472" w14:textId="77777777" w:rsidR="00A96BEF" w:rsidRDefault="00A96BEF">
      <w:pPr>
        <w:spacing w:after="0" w:line="240" w:lineRule="auto"/>
      </w:pPr>
      <w:r>
        <w:separator/>
      </w:r>
    </w:p>
  </w:endnote>
  <w:endnote w:type="continuationSeparator" w:id="0">
    <w:p w14:paraId="7D30E4AC" w14:textId="77777777" w:rsidR="00A96BEF" w:rsidRDefault="00A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7084" w14:textId="77777777" w:rsidR="001A5E0F" w:rsidRPr="00CD60BF" w:rsidRDefault="00187BB1" w:rsidP="00C70F58">
    <w:pPr>
      <w:pStyle w:val="Sinespaciado"/>
      <w:ind w:left="-567"/>
      <w:jc w:val="both"/>
      <w:rPr>
        <w:color w:val="0070C0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45A3C7B1" wp14:editId="3730B555">
          <wp:simplePos x="0" y="0"/>
          <wp:positionH relativeFrom="column">
            <wp:posOffset>368300</wp:posOffset>
          </wp:positionH>
          <wp:positionV relativeFrom="paragraph">
            <wp:posOffset>8702040</wp:posOffset>
          </wp:positionV>
          <wp:extent cx="5612130" cy="751205"/>
          <wp:effectExtent l="0" t="0" r="7620" b="0"/>
          <wp:wrapNone/>
          <wp:docPr id="54" name="Imagen 54" descr=":::SECRETARIA AYUNTAMI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:::SECRETARIA AYUNTAMIEN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2A94429" wp14:editId="12A8C146">
          <wp:simplePos x="0" y="0"/>
          <wp:positionH relativeFrom="column">
            <wp:posOffset>368300</wp:posOffset>
          </wp:positionH>
          <wp:positionV relativeFrom="paragraph">
            <wp:posOffset>8702040</wp:posOffset>
          </wp:positionV>
          <wp:extent cx="5612130" cy="751205"/>
          <wp:effectExtent l="0" t="0" r="7620" b="0"/>
          <wp:wrapNone/>
          <wp:docPr id="55" name="Imagen 55" descr=":::SECRETARIA AYUNTAMI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:::SECRETARIA AYUNTAMIEN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F0B4EE0" wp14:editId="1FDDED46">
          <wp:simplePos x="0" y="0"/>
          <wp:positionH relativeFrom="column">
            <wp:posOffset>368300</wp:posOffset>
          </wp:positionH>
          <wp:positionV relativeFrom="paragraph">
            <wp:posOffset>8702040</wp:posOffset>
          </wp:positionV>
          <wp:extent cx="5612130" cy="751205"/>
          <wp:effectExtent l="0" t="0" r="7620" b="0"/>
          <wp:wrapNone/>
          <wp:docPr id="56" name="Imagen 56" descr=":::SECRETARIA AYUNTAMI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:::SECRETARIA AYUNTAMIEN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FE460B0" wp14:editId="175DF3A4">
          <wp:simplePos x="0" y="0"/>
          <wp:positionH relativeFrom="column">
            <wp:posOffset>368300</wp:posOffset>
          </wp:positionH>
          <wp:positionV relativeFrom="paragraph">
            <wp:posOffset>8702040</wp:posOffset>
          </wp:positionV>
          <wp:extent cx="5612130" cy="751205"/>
          <wp:effectExtent l="0" t="0" r="7620" b="0"/>
          <wp:wrapNone/>
          <wp:docPr id="57" name="Imagen 57" descr=":::SECRETARIA AYUNTAMI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 descr=":::SECRETARIA AYUNTAMIEN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8D4B1" w14:textId="77777777" w:rsidR="00A96BEF" w:rsidRDefault="00A96BEF">
      <w:pPr>
        <w:spacing w:after="0" w:line="240" w:lineRule="auto"/>
      </w:pPr>
      <w:r>
        <w:separator/>
      </w:r>
    </w:p>
  </w:footnote>
  <w:footnote w:type="continuationSeparator" w:id="0">
    <w:p w14:paraId="2634C70F" w14:textId="77777777" w:rsidR="00A96BEF" w:rsidRDefault="00A9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D7E7C" w14:textId="77777777" w:rsidR="001A5E0F" w:rsidRDefault="00187BB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F4630" wp14:editId="6F846857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4091305" cy="771525"/>
              <wp:effectExtent l="0" t="0" r="23495" b="2857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130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89ACC" w14:textId="77777777" w:rsidR="001A5E0F" w:rsidRDefault="00A96BEF" w:rsidP="00EB07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F4630" id="Rectángulo 5" o:spid="_x0000_s1026" style="position:absolute;margin-left:0;margin-top:-.75pt;width:322.15pt;height:6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13JgIAAEkEAAAOAAAAZHJzL2Uyb0RvYy54bWysVFGO0zAQ/UfiDpb/aZLS0t2o6WrVpQhp&#10;gRULB3AdJ7FwPGbsNi232bNwMcZOdynwtyIflsczfn7zZibLq0Nv2F6h12ArXkxyzpSVUGvbVvzr&#10;l82rC858ELYWBqyq+FF5frV6+WI5uFJNoQNTK2QEYn05uIp3Ibgyy7zsVC/8BJyy5GwAexHIxDar&#10;UQyE3ptsmudvsgGwdghSeU+nN6OTrxJ+0ygZPjWNV4GZihO3kFZM6zau2WopyhaF67Q80RDPYNEL&#10;benRJ6gbEQTbof4HqtcSwUMTJhL6DJpGS5VyoGyK/K9s7jvhVMqFxPHuSSb//2Dlx/0dMl1XfM6Z&#10;FT2V6DOJ9vPBtjsDbB4FGpwvKe7e3WFM0btbkN88s7DuhG3VNSIMnRI10SpifPbHhWh4usq2wweo&#10;CV/sAiStDg32EZBUYIdUkuNTSdQhMEmHs/yyeJ0TN0m+xaKYTxOlTJSPtx368E5Bz+Km4kjsE7rY&#10;3/oQ2YjyMSSxB6PrjTYmGdhu1wbZXlB7bNKXEqAkz8OMZUPFL+Pbz4XodaA+N7qv+EUev7Hzomxv&#10;bZ26MAhtxj1RNvakY5RuLEE4bA+namyhPpKiCGM/0/zRpgP8wdlAvVxx/30nUHFm3luqymUxm8Xm&#10;T8ZsvpiSgeee7blHWElQFQ+cjdt1GAdm51C3Hb1UJBksXFMlG51EjlUeWZ14U78m7U+zFQfi3E5R&#10;v/8Aq18AAAD//wMAUEsDBBQABgAIAAAAIQC3D38m2wAAAAcBAAAPAAAAZHJzL2Rvd25yZXYueG1s&#10;TI/BTsMwEETvSPyDtUjcWqcQKhTiVFCCuHAoBe5bZ0ki7HUUu23K17Oc4Dia0cybcjV5pw40xj6w&#10;gcU8A0VsQ9Nza+D97Wl2Cyom5AZdYDJwogir6vysxKIJR36lwza1Sko4FmigS2kotI62I49xHgZi&#10;8T7D6DGJHFvdjHiUcu/0VZYttceeZaHDgdYd2a/t3hvYID5uvp+tfahPL3lN64+agjPm8mK6vwOV&#10;aEp/YfjFF3SohGkX9txE5QzIkWRgtrgBJe4yz69B7SQmq6CrUv/nr34AAAD//wMAUEsBAi0AFAAG&#10;AAgAAAAhALaDOJL+AAAA4QEAABMAAAAAAAAAAAAAAAAAAAAAAFtDb250ZW50X1R5cGVzXS54bWxQ&#10;SwECLQAUAAYACAAAACEAOP0h/9YAAACUAQAACwAAAAAAAAAAAAAAAAAvAQAAX3JlbHMvLnJlbHNQ&#10;SwECLQAUAAYACAAAACEAkpu9dyYCAABJBAAADgAAAAAAAAAAAAAAAAAuAgAAZHJzL2Uyb0RvYy54&#10;bWxQSwECLQAUAAYACAAAACEAtw9/JtsAAAAHAQAADwAAAAAAAAAAAAAAAACABAAAZHJzL2Rvd25y&#10;ZXYueG1sUEsFBgAAAAAEAAQA8wAAAIgFAAAAAA==&#10;" strokecolor="white">
              <v:textbox>
                <w:txbxContent>
                  <w:p w14:paraId="0A589ACC" w14:textId="77777777" w:rsidR="001A5E0F" w:rsidRDefault="00A96BEF" w:rsidP="00EB07F6"/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9D3"/>
    <w:multiLevelType w:val="hybridMultilevel"/>
    <w:tmpl w:val="26BE90B8"/>
    <w:lvl w:ilvl="0" w:tplc="9AAAE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C6D"/>
    <w:multiLevelType w:val="hybridMultilevel"/>
    <w:tmpl w:val="987AF66A"/>
    <w:lvl w:ilvl="0" w:tplc="C41E5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08EB"/>
    <w:multiLevelType w:val="hybridMultilevel"/>
    <w:tmpl w:val="8D48A038"/>
    <w:lvl w:ilvl="0" w:tplc="A9084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22E27"/>
    <w:multiLevelType w:val="hybridMultilevel"/>
    <w:tmpl w:val="5BC065A0"/>
    <w:lvl w:ilvl="0" w:tplc="3558D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C7D22"/>
    <w:multiLevelType w:val="hybridMultilevel"/>
    <w:tmpl w:val="72CED594"/>
    <w:lvl w:ilvl="0" w:tplc="9FF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62031"/>
    <w:multiLevelType w:val="hybridMultilevel"/>
    <w:tmpl w:val="B518F00E"/>
    <w:lvl w:ilvl="0" w:tplc="4964D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C03ED"/>
    <w:multiLevelType w:val="hybridMultilevel"/>
    <w:tmpl w:val="71F8A7F0"/>
    <w:lvl w:ilvl="0" w:tplc="F42E2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84D67"/>
    <w:multiLevelType w:val="hybridMultilevel"/>
    <w:tmpl w:val="DFEAA69E"/>
    <w:lvl w:ilvl="0" w:tplc="31586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85C83"/>
    <w:multiLevelType w:val="hybridMultilevel"/>
    <w:tmpl w:val="353A51FE"/>
    <w:lvl w:ilvl="0" w:tplc="6AA6E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620B2"/>
    <w:multiLevelType w:val="hybridMultilevel"/>
    <w:tmpl w:val="52FC1EAC"/>
    <w:lvl w:ilvl="0" w:tplc="53347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2347C"/>
    <w:multiLevelType w:val="hybridMultilevel"/>
    <w:tmpl w:val="64B00A02"/>
    <w:lvl w:ilvl="0" w:tplc="3B2C7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B1"/>
    <w:rsid w:val="00004C3B"/>
    <w:rsid w:val="00093CAA"/>
    <w:rsid w:val="00187BB1"/>
    <w:rsid w:val="005121A2"/>
    <w:rsid w:val="00616EE3"/>
    <w:rsid w:val="00983517"/>
    <w:rsid w:val="00A96BEF"/>
    <w:rsid w:val="00B06319"/>
    <w:rsid w:val="00D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FB7C"/>
  <w15:chartTrackingRefBased/>
  <w15:docId w15:val="{3C3307B9-1312-4755-AE78-CDDC495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7BB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187BB1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87BB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5250</Words>
  <Characters>28877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Ramirez</dc:creator>
  <cp:keywords/>
  <dc:description/>
  <cp:lastModifiedBy>Juridico</cp:lastModifiedBy>
  <cp:revision>2</cp:revision>
  <dcterms:created xsi:type="dcterms:W3CDTF">2021-11-03T17:42:00Z</dcterms:created>
  <dcterms:modified xsi:type="dcterms:W3CDTF">2022-03-24T21:06:00Z</dcterms:modified>
</cp:coreProperties>
</file>